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987926" w:rsidRPr="003C7004">
        <w:rPr>
          <w:sz w:val="28"/>
          <w:szCs w:val="28"/>
        </w:rPr>
        <w:t>Schlüssel</w:t>
      </w:r>
    </w:p>
    <w:p w:rsidR="00694A63" w:rsidRPr="00694A63" w:rsidRDefault="00694A63">
      <w:pPr>
        <w:pStyle w:val="IQB-Teilaufgabentitel"/>
        <w:rPr>
          <w:b/>
        </w:rPr>
      </w:pP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987926" w:rsidTr="00987926">
        <w:tc>
          <w:tcPr>
            <w:tcW w:w="2466" w:type="dxa"/>
            <w:vAlign w:val="center"/>
          </w:tcPr>
          <w:p w:rsidR="00987926" w:rsidRPr="00A069A7" w:rsidRDefault="00987926" w:rsidP="00C14828">
            <w:pPr>
              <w:pStyle w:val="IQB-Merkmal"/>
            </w:pPr>
            <w:r w:rsidRPr="00A069A7">
              <w:t>Leitidee</w:t>
            </w:r>
          </w:p>
        </w:tc>
        <w:tc>
          <w:tcPr>
            <w:tcW w:w="6604" w:type="dxa"/>
          </w:tcPr>
          <w:p w:rsidR="00987926" w:rsidRPr="00A069A7" w:rsidRDefault="00987926" w:rsidP="00C14828">
            <w:pPr>
              <w:pStyle w:val="IQB-Merkmalswert"/>
              <w:rPr>
                <w:sz w:val="22"/>
                <w:szCs w:val="22"/>
              </w:rPr>
            </w:pPr>
            <w:r w:rsidRPr="00A069A7">
              <w:rPr>
                <w:sz w:val="22"/>
                <w:szCs w:val="22"/>
              </w:rPr>
              <w:t>Daten und Zufall (L5)</w:t>
            </w:r>
          </w:p>
        </w:tc>
      </w:tr>
      <w:tr w:rsidR="00987926" w:rsidTr="00987926">
        <w:tc>
          <w:tcPr>
            <w:tcW w:w="2466" w:type="dxa"/>
            <w:vAlign w:val="center"/>
          </w:tcPr>
          <w:p w:rsidR="00987926" w:rsidRPr="00A069A7" w:rsidRDefault="00987926" w:rsidP="00C14828">
            <w:pPr>
              <w:pStyle w:val="IQB-Merkmal"/>
            </w:pPr>
            <w:r w:rsidRPr="00A069A7">
              <w:t>Allgemeine Kompetenzen</w:t>
            </w:r>
          </w:p>
        </w:tc>
        <w:tc>
          <w:tcPr>
            <w:tcW w:w="6604" w:type="dxa"/>
          </w:tcPr>
          <w:p w:rsidR="00987926" w:rsidRPr="00A069A7" w:rsidRDefault="00987926" w:rsidP="00C14828">
            <w:pPr>
              <w:pStyle w:val="IQB-Merkmalswert"/>
              <w:rPr>
                <w:sz w:val="22"/>
                <w:szCs w:val="22"/>
              </w:rPr>
            </w:pPr>
            <w:r w:rsidRPr="00A069A7">
              <w:rPr>
                <w:sz w:val="22"/>
                <w:szCs w:val="22"/>
              </w:rPr>
              <w:t xml:space="preserve">Mathematisch modellieren (K3) </w:t>
            </w:r>
          </w:p>
          <w:p w:rsidR="00987926" w:rsidRPr="00A069A7" w:rsidRDefault="00987926" w:rsidP="00C14828">
            <w:pPr>
              <w:pStyle w:val="IQB-Merkmalswert"/>
              <w:rPr>
                <w:sz w:val="22"/>
                <w:szCs w:val="22"/>
              </w:rPr>
            </w:pPr>
            <w:r w:rsidRPr="00A069A7">
              <w:rPr>
                <w:sz w:val="22"/>
                <w:szCs w:val="22"/>
              </w:rPr>
              <w:t>Mathematisch kommunizieren (K6)</w:t>
            </w:r>
          </w:p>
        </w:tc>
      </w:tr>
      <w:tr w:rsidR="00987926" w:rsidTr="00987926">
        <w:tc>
          <w:tcPr>
            <w:tcW w:w="2466" w:type="dxa"/>
            <w:vAlign w:val="center"/>
          </w:tcPr>
          <w:p w:rsidR="00987926" w:rsidRPr="00A069A7" w:rsidRDefault="00987926" w:rsidP="00C14828">
            <w:pPr>
              <w:pStyle w:val="IQB-Merkmal"/>
            </w:pPr>
            <w:r w:rsidRPr="00A069A7">
              <w:t>Anforderungsbereich</w:t>
            </w:r>
          </w:p>
        </w:tc>
        <w:tc>
          <w:tcPr>
            <w:tcW w:w="6604" w:type="dxa"/>
          </w:tcPr>
          <w:p w:rsidR="00987926" w:rsidRPr="00A069A7" w:rsidRDefault="00987926" w:rsidP="00C14828">
            <w:pPr>
              <w:pStyle w:val="IQB-Merkmalswert"/>
              <w:rPr>
                <w:sz w:val="22"/>
                <w:szCs w:val="22"/>
              </w:rPr>
            </w:pPr>
            <w:r w:rsidRPr="00A069A7">
              <w:rPr>
                <w:sz w:val="22"/>
                <w:szCs w:val="22"/>
              </w:rPr>
              <w:t>I</w:t>
            </w:r>
          </w:p>
        </w:tc>
      </w:tr>
      <w:tr w:rsidR="00987926" w:rsidTr="00987926">
        <w:tc>
          <w:tcPr>
            <w:tcW w:w="2466" w:type="dxa"/>
            <w:vAlign w:val="center"/>
          </w:tcPr>
          <w:p w:rsidR="00987926" w:rsidRPr="00A069A7" w:rsidRDefault="00987926" w:rsidP="00C14828">
            <w:pPr>
              <w:pStyle w:val="IQB-Merkmal"/>
            </w:pPr>
            <w:r w:rsidRPr="00A069A7">
              <w:t>Kompetenzstufe</w:t>
            </w:r>
          </w:p>
        </w:tc>
        <w:tc>
          <w:tcPr>
            <w:tcW w:w="6604" w:type="dxa"/>
          </w:tcPr>
          <w:p w:rsidR="00987926" w:rsidRPr="00A069A7" w:rsidRDefault="00987926" w:rsidP="00C14828">
            <w:pPr>
              <w:pStyle w:val="IQB-Merkmalswert"/>
              <w:rPr>
                <w:sz w:val="22"/>
                <w:szCs w:val="22"/>
              </w:rPr>
            </w:pPr>
            <w:r w:rsidRPr="00A069A7">
              <w:rPr>
                <w:sz w:val="22"/>
                <w:szCs w:val="22"/>
              </w:rPr>
              <w:t>1a</w:t>
            </w:r>
          </w:p>
        </w:tc>
      </w:tr>
    </w:tbl>
    <w:p w:rsidR="00694A63" w:rsidRPr="00694A63" w:rsidRDefault="00694A63" w:rsidP="00694A63">
      <w:pPr>
        <w:pStyle w:val="IQB-Teilaufgabentitel"/>
        <w:rPr>
          <w:b/>
        </w:rPr>
      </w:pPr>
      <w:r w:rsidRPr="00694A63">
        <w:rPr>
          <w:b/>
        </w:rPr>
        <w:t>Aufgabenbezogener Kommentar</w:t>
      </w:r>
    </w:p>
    <w:p w:rsidR="00987926" w:rsidRPr="00987926" w:rsidRDefault="00987926" w:rsidP="00987926">
      <w:pPr>
        <w:jc w:val="both"/>
        <w:rPr>
          <w:rFonts w:ascii="Arial" w:hAnsi="Arial"/>
          <w:sz w:val="22"/>
          <w:szCs w:val="22"/>
        </w:rPr>
      </w:pPr>
      <w:r w:rsidRPr="00987926">
        <w:rPr>
          <w:rFonts w:ascii="Arial" w:hAnsi="Arial"/>
          <w:sz w:val="22"/>
          <w:szCs w:val="22"/>
        </w:rPr>
        <w:t xml:space="preserve">Diese Aufgabe ist der Leitidee </w:t>
      </w:r>
      <w:r w:rsidRPr="00987926">
        <w:rPr>
          <w:rFonts w:ascii="Arial" w:hAnsi="Arial"/>
          <w:i/>
          <w:sz w:val="22"/>
          <w:szCs w:val="22"/>
        </w:rPr>
        <w:t>Daten und Zufall</w:t>
      </w:r>
      <w:r w:rsidRPr="00987926">
        <w:rPr>
          <w:rFonts w:ascii="Arial" w:hAnsi="Arial"/>
          <w:sz w:val="22"/>
          <w:szCs w:val="22"/>
        </w:rPr>
        <w:t xml:space="preserve"> (L5) zugeordnet, da die Wahrscheinlichkeit in einem Zufallsexperiment bestimmt werden muss. </w:t>
      </w:r>
    </w:p>
    <w:p w:rsidR="00987926" w:rsidRPr="00987926" w:rsidRDefault="00987926" w:rsidP="00987926">
      <w:pPr>
        <w:jc w:val="both"/>
        <w:rPr>
          <w:rFonts w:ascii="Arial" w:hAnsi="Arial"/>
          <w:sz w:val="22"/>
          <w:szCs w:val="22"/>
        </w:rPr>
      </w:pPr>
    </w:p>
    <w:p w:rsidR="00987926" w:rsidRPr="00987926" w:rsidRDefault="00987926" w:rsidP="00987926">
      <w:pPr>
        <w:jc w:val="both"/>
        <w:rPr>
          <w:rFonts w:ascii="Arial" w:hAnsi="Arial"/>
          <w:sz w:val="22"/>
          <w:szCs w:val="22"/>
        </w:rPr>
      </w:pPr>
      <w:r w:rsidRPr="00987926">
        <w:rPr>
          <w:rFonts w:ascii="Arial" w:hAnsi="Arial"/>
          <w:sz w:val="22"/>
          <w:szCs w:val="22"/>
        </w:rPr>
        <w:t xml:space="preserve">Die Schülerinnen und Schüler beantworten die Fragestellung anhand eines passenden mathematischen Modells und benötigen somit die Kompetenz </w:t>
      </w:r>
      <w:r w:rsidRPr="00987926">
        <w:rPr>
          <w:rFonts w:ascii="Arial" w:hAnsi="Arial"/>
          <w:i/>
          <w:sz w:val="22"/>
          <w:szCs w:val="22"/>
        </w:rPr>
        <w:t>Mathematisch modellieren</w:t>
      </w:r>
      <w:r w:rsidRPr="00987926">
        <w:rPr>
          <w:rFonts w:ascii="Arial" w:hAnsi="Arial"/>
          <w:sz w:val="22"/>
          <w:szCs w:val="22"/>
        </w:rPr>
        <w:t xml:space="preserve"> (K3). Aufgrund der Entnahme von Informationen aus dem Aufgabentext, ist die Kompetenz </w:t>
      </w:r>
      <w:r w:rsidRPr="00987926">
        <w:rPr>
          <w:rFonts w:ascii="Arial" w:hAnsi="Arial"/>
          <w:i/>
          <w:sz w:val="22"/>
          <w:szCs w:val="22"/>
        </w:rPr>
        <w:t>Mathematisch Kommunizieren</w:t>
      </w:r>
      <w:r w:rsidRPr="00987926">
        <w:rPr>
          <w:rFonts w:ascii="Arial" w:hAnsi="Arial"/>
          <w:sz w:val="22"/>
          <w:szCs w:val="22"/>
        </w:rPr>
        <w:t xml:space="preserve"> (K6) ebenfalls erforderlich. </w:t>
      </w:r>
    </w:p>
    <w:p w:rsidR="00987926" w:rsidRPr="00987926" w:rsidRDefault="00987926" w:rsidP="00987926">
      <w:pPr>
        <w:jc w:val="both"/>
        <w:rPr>
          <w:rFonts w:ascii="Arial" w:hAnsi="Arial"/>
          <w:sz w:val="22"/>
          <w:szCs w:val="22"/>
        </w:rPr>
      </w:pPr>
    </w:p>
    <w:p w:rsidR="00987926" w:rsidRPr="00987926" w:rsidRDefault="00987926" w:rsidP="00987926">
      <w:pPr>
        <w:jc w:val="both"/>
        <w:rPr>
          <w:rFonts w:ascii="Arial" w:hAnsi="Arial"/>
          <w:sz w:val="22"/>
          <w:szCs w:val="22"/>
        </w:rPr>
      </w:pPr>
      <w:r w:rsidRPr="00987926">
        <w:rPr>
          <w:rFonts w:ascii="Arial" w:hAnsi="Arial"/>
          <w:sz w:val="22"/>
          <w:szCs w:val="22"/>
        </w:rPr>
        <w:t>Die Aufgabe gehört in den Anforderungsbereich I, weil ein vertrautes und direkt erkennbares Standardmodell zur Bestimmung der Wahrscheinlichkeit genutzt werden kann.</w:t>
      </w:r>
    </w:p>
    <w:p w:rsidR="00694A63" w:rsidRPr="00694A63" w:rsidRDefault="00694A63" w:rsidP="00694A63">
      <w:pPr>
        <w:pStyle w:val="IQB-Teilaufgabentitel"/>
        <w:rPr>
          <w:b/>
        </w:rPr>
      </w:pPr>
      <w:r w:rsidRPr="00694A63">
        <w:rPr>
          <w:b/>
        </w:rPr>
        <w:t>Anregungen für den Unterricht</w:t>
      </w:r>
    </w:p>
    <w:p w:rsidR="00987926" w:rsidRPr="00987926" w:rsidRDefault="00987926" w:rsidP="00987926">
      <w:pPr>
        <w:jc w:val="both"/>
        <w:rPr>
          <w:rFonts w:ascii="Arial" w:hAnsi="Arial"/>
          <w:sz w:val="22"/>
          <w:szCs w:val="22"/>
        </w:rPr>
      </w:pPr>
      <w:r w:rsidRPr="00987926">
        <w:rPr>
          <w:rFonts w:ascii="Arial" w:hAnsi="Arial"/>
          <w:sz w:val="22"/>
          <w:szCs w:val="22"/>
        </w:rPr>
        <w:t xml:space="preserve">In der Aufgabe „Schlüssel“ wird eine realitätsnahe Situation beschrieben, die als einstufiges Zufallsexperiment aufgefasst werden kann. Die Situation legt den Laplace-Begriff von Wahrscheinlichkeit nahe. In einer Unterrichtsreihe zur Wahrscheinlichkeitsrechnung sollte jedoch darauf geachtet werden, dass nicht ausschließlich objektive Wahrscheinlichkeitsbegriffe eine Rolle spielen. Vielmehr sollten objektive Wahrscheinlichkeiten den subjektiv empfundenen Wahrscheinlichkeiten gegenübergestellt werden. Schülerinnen und Schüler können nach dem Grad ihrer persönlichen Überzeugung gefragt werden, ob ein Ereignis eintritt oder nicht. Auf diese Weise entwickeln Schülerinnen und Schüler womöglich die Fähigkeit zu entscheiden, welche Situationen mithilfe objektiver Wahrscheinlichkeitsbegriffe modelliert werden können und welche nicht. Vorhersagen im Fußball eignen sich dazu, über subjektive und objektive Wahrscheinlichkeiten zu diskutieren. Will man eine Wahrscheinlichkeit dafür angeben, dass eine bestimmte Mannschaft das kommende Spiel gewinnt, scheidet der Laplace-Begriff zur Wahrscheinlichkeit von vornhinein aus. Aber auch der </w:t>
      </w:r>
      <w:proofErr w:type="spellStart"/>
      <w:r w:rsidRPr="00987926">
        <w:rPr>
          <w:rFonts w:ascii="Arial" w:hAnsi="Arial"/>
          <w:sz w:val="22"/>
          <w:szCs w:val="22"/>
        </w:rPr>
        <w:t>frequentistische</w:t>
      </w:r>
      <w:proofErr w:type="spellEnd"/>
      <w:r w:rsidRPr="00987926">
        <w:rPr>
          <w:rFonts w:ascii="Arial" w:hAnsi="Arial"/>
          <w:sz w:val="22"/>
          <w:szCs w:val="22"/>
        </w:rPr>
        <w:t xml:space="preserve"> Wahrscheinlichkeitsbegriff ist hier allenfalls bedingt geeignet. Man könnte versucht sein eine Siegquote aus den vergangenen Spielen der Mannschaft zu erstellen, d.h. den relativen Anteil der Siege aus den vergangenen Spielen zu ermitteln. Diese Quote würde man dann als Wahrscheinlichkeit auffassen, mit der die Mannschaft im kommenden Spiel erfolgreich ist. Allein, aus welchem Zeitraum entstammen die vergangenen Spiele? Fußballvereine sind teilweise mehr als 100 Jahre alt. Die Spieler, Trainer und andere Verantwortliche im Verein wechseln hingegen recht schnell. Auch kurzfristige Ereignisse können einen Einfluss haben (z. B. Verletzungen, Enge Taktung der Spiele, Heim- oder Auswärtsspiel). Es fällt also schwer einen Zeitraum festzulegen, auf dem sich die relative Häufigkeit der Siege bezieht. Hilfreicher wäre es hier mit anderen Vorhersagemodellen zu arbeiten. Sucht man ein Modell mit nur einer Variablen, wäre es beispielsweise denkbar über den Marktwert einer Mannschaft zu argumentieren. Hiermit hätte man ein Modell, das die subjektive Überzeugung für das Abschneiden einer Mannschaft im kommenden Spiel stützen kann.</w:t>
      </w:r>
    </w:p>
    <w:p w:rsidR="00987926" w:rsidRPr="00987926" w:rsidRDefault="00987926" w:rsidP="00987926">
      <w:pPr>
        <w:jc w:val="both"/>
        <w:rPr>
          <w:rFonts w:ascii="Arial" w:hAnsi="Arial"/>
          <w:sz w:val="22"/>
          <w:szCs w:val="22"/>
        </w:rPr>
      </w:pPr>
    </w:p>
    <w:p w:rsidR="00987926" w:rsidRPr="00987926" w:rsidRDefault="00987926" w:rsidP="00987926">
      <w:pPr>
        <w:jc w:val="both"/>
        <w:rPr>
          <w:rFonts w:ascii="Arial" w:hAnsi="Arial"/>
          <w:sz w:val="22"/>
          <w:szCs w:val="22"/>
        </w:rPr>
      </w:pPr>
      <w:r w:rsidRPr="00987926">
        <w:rPr>
          <w:rFonts w:ascii="Arial" w:hAnsi="Arial"/>
          <w:sz w:val="22"/>
          <w:szCs w:val="22"/>
        </w:rPr>
        <w:t xml:space="preserve">Im Unterricht zur Wahrscheinlichkeitsrechnung kann zunächst der subjektive Wahrscheinlichkeitsbegriff vom </w:t>
      </w:r>
      <w:proofErr w:type="spellStart"/>
      <w:r w:rsidRPr="00987926">
        <w:rPr>
          <w:rFonts w:ascii="Arial" w:hAnsi="Arial"/>
          <w:sz w:val="22"/>
          <w:szCs w:val="22"/>
        </w:rPr>
        <w:t>frequentistischen</w:t>
      </w:r>
      <w:proofErr w:type="spellEnd"/>
      <w:r w:rsidRPr="00987926">
        <w:rPr>
          <w:rFonts w:ascii="Arial" w:hAnsi="Arial"/>
          <w:sz w:val="22"/>
          <w:szCs w:val="22"/>
        </w:rPr>
        <w:t xml:space="preserve"> abgegrenzt werden. Situationen zum </w:t>
      </w:r>
      <w:proofErr w:type="spellStart"/>
      <w:r w:rsidRPr="00987926">
        <w:rPr>
          <w:rFonts w:ascii="Arial" w:hAnsi="Arial"/>
          <w:sz w:val="22"/>
          <w:szCs w:val="22"/>
        </w:rPr>
        <w:t>frequentistischen</w:t>
      </w:r>
      <w:proofErr w:type="spellEnd"/>
      <w:r w:rsidRPr="00987926">
        <w:rPr>
          <w:rFonts w:ascii="Arial" w:hAnsi="Arial"/>
          <w:sz w:val="22"/>
          <w:szCs w:val="22"/>
        </w:rPr>
        <w:t xml:space="preserve"> Wahrscheinlichkeitsbegriff sind in der Regel solche, bei denen Wahrscheinlichkeiten für einzelne Ereignisse nicht im Vorhinein (z. B. aufgrund von Symmetrien eines Gegenstands) vorhergesagt werden können, sondern vielmehr aus relativen Häufigkeiten abgeleitet werden müssen. Ein bekanntes Beispiel ist das Werfen von Reißzwecken. Um den </w:t>
      </w:r>
      <w:r w:rsidRPr="00987926">
        <w:rPr>
          <w:rFonts w:ascii="Arial" w:hAnsi="Arial"/>
          <w:sz w:val="22"/>
          <w:szCs w:val="22"/>
        </w:rPr>
        <w:lastRenderedPageBreak/>
        <w:t>Unterschied zwischen subjektiver und objektiver Wahrscheinlichkeit zu verdeutlichen, können Schülerinnen und Schüler zunächst vor der Ermittlung der relativen Häufigkeit nach einer eigenen Prognose gefragt werden. Man kann dann prüfen, ob die Vorhersage mit der relativen Häufigkeit übereinstimmt. Später deutet man die relative Häufigkeit als Wahrscheinlichkeit und prüft, ob sich so bessere Prognosen als mit der subjektiven Vorhersage erzielen lassen. Dieses Vorgehen kann auf weitere reale Situationen übertragen werden:</w:t>
      </w:r>
    </w:p>
    <w:p w:rsidR="00987926" w:rsidRPr="00987926" w:rsidRDefault="00987926" w:rsidP="00987926">
      <w:pPr>
        <w:numPr>
          <w:ilvl w:val="0"/>
          <w:numId w:val="14"/>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Trefferquote beim Werfen von Papierkugeln in den Papierkorb</w:t>
      </w:r>
    </w:p>
    <w:p w:rsidR="00987926" w:rsidRPr="00987926" w:rsidRDefault="00987926" w:rsidP="00987926">
      <w:pPr>
        <w:numPr>
          <w:ilvl w:val="0"/>
          <w:numId w:val="14"/>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Umfrage zur Zufriedenheit mit der Menge an Taschengeld mit den Antwortmöglichkeiten „zu hoch“, „zu niedrig“, „neutral“</w:t>
      </w:r>
    </w:p>
    <w:p w:rsidR="00987926" w:rsidRPr="00987926" w:rsidRDefault="00987926" w:rsidP="00987926">
      <w:pPr>
        <w:numPr>
          <w:ilvl w:val="0"/>
          <w:numId w:val="14"/>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Rollen eines Bleistifts</w:t>
      </w:r>
    </w:p>
    <w:p w:rsidR="00987926" w:rsidRPr="00987926" w:rsidRDefault="00987926" w:rsidP="00987926">
      <w:pPr>
        <w:jc w:val="both"/>
        <w:rPr>
          <w:rFonts w:ascii="Arial" w:hAnsi="Arial"/>
          <w:sz w:val="22"/>
          <w:szCs w:val="22"/>
        </w:rPr>
      </w:pPr>
    </w:p>
    <w:p w:rsidR="00987926" w:rsidRPr="00987926" w:rsidRDefault="00987926" w:rsidP="00987926">
      <w:pPr>
        <w:jc w:val="both"/>
        <w:rPr>
          <w:rFonts w:ascii="Arial" w:hAnsi="Arial"/>
          <w:sz w:val="22"/>
          <w:szCs w:val="22"/>
        </w:rPr>
      </w:pPr>
      <w:r w:rsidRPr="00987926">
        <w:rPr>
          <w:rFonts w:ascii="Arial" w:hAnsi="Arial"/>
          <w:sz w:val="22"/>
          <w:szCs w:val="22"/>
        </w:rPr>
        <w:t xml:space="preserve">Weniger bekannt dürfte das letztgenannte Beispiel, Rollen eines Bleistifts, sein. Auf seiner Homepage schreibt Wolfgang Riemer, der dieses Experiment entwickelt hat: </w:t>
      </w:r>
      <w:r w:rsidRPr="00987926">
        <w:rPr>
          <w:rFonts w:ascii="Arial" w:hAnsi="Arial"/>
          <w:i/>
          <w:sz w:val="22"/>
          <w:szCs w:val="22"/>
        </w:rPr>
        <w:t xml:space="preserve">„Die meisten Menschen sind fest davon überzeugt, dass beim Würfeln mit Sechskant-Bleistiften alle Seiten die gleiche Wahrscheinlichkeit </w:t>
      </w:r>
      <w:r w:rsidRPr="00987926">
        <w:rPr>
          <w:rFonts w:ascii="Arial" w:hAnsi="Arial"/>
          <w:position w:val="-22"/>
          <w:sz w:val="18"/>
        </w:rPr>
        <w:object w:dxaOrig="24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12.55pt;height:29.3pt" o:ole="">
            <v:imagedata r:id="rId8" o:title=""/>
          </v:shape>
          <o:OLEObject Type="Embed" ProgID="Equation.DSMT4" ShapeID="_x0000_i1051" DrawAspect="Content" ObjectID="_1814788520" r:id="rId9"/>
        </w:object>
      </w:r>
      <w:r w:rsidRPr="00987926">
        <w:rPr>
          <w:rFonts w:ascii="Arial" w:hAnsi="Arial"/>
          <w:sz w:val="22"/>
          <w:szCs w:val="22"/>
        </w:rPr>
        <w:t xml:space="preserve"> </w:t>
      </w:r>
      <w:r w:rsidRPr="00987926">
        <w:rPr>
          <w:rFonts w:ascii="Arial" w:hAnsi="Arial"/>
          <w:i/>
          <w:sz w:val="22"/>
          <w:szCs w:val="22"/>
        </w:rPr>
        <w:t xml:space="preserve">besitzen, egal ob man sie rechts- oder linksherum rollt. Tatsächlich besitzen die Stifte eine ERHEBLICHE Individualität“ </w:t>
      </w:r>
      <w:r w:rsidRPr="00987926">
        <w:rPr>
          <w:rFonts w:ascii="Arial" w:hAnsi="Arial"/>
          <w:sz w:val="22"/>
          <w:szCs w:val="22"/>
        </w:rPr>
        <w:t xml:space="preserve">(http://www.riemer-koeln.de/). So weist er beispielsweise darauf hin, dass die Mine bei Stiften nicht immer exakt in der Mitte des Stifts sitzt und dass die </w:t>
      </w:r>
      <w:proofErr w:type="spellStart"/>
      <w:r w:rsidRPr="00987926">
        <w:rPr>
          <w:rFonts w:ascii="Arial" w:hAnsi="Arial"/>
          <w:sz w:val="22"/>
          <w:szCs w:val="22"/>
        </w:rPr>
        <w:t>Leimung</w:t>
      </w:r>
      <w:proofErr w:type="spellEnd"/>
      <w:r w:rsidRPr="00987926">
        <w:rPr>
          <w:rFonts w:ascii="Arial" w:hAnsi="Arial"/>
          <w:sz w:val="22"/>
          <w:szCs w:val="22"/>
        </w:rPr>
        <w:t xml:space="preserve"> der Bleistifte für Asymmetrien sorgt. Auf der Homepage finden sich Unterrichtsmaterialen und didaktische Erläuterungen zu Zufallsexperimenten, die mit einfachen Bleistiften im Unterricht durchgeführt werden können. Gerade dieses Beispiel eignet sich also, um den </w:t>
      </w:r>
      <w:proofErr w:type="spellStart"/>
      <w:r w:rsidRPr="00987926">
        <w:rPr>
          <w:rFonts w:ascii="Arial" w:hAnsi="Arial"/>
          <w:sz w:val="22"/>
          <w:szCs w:val="22"/>
        </w:rPr>
        <w:t>frequentistischen</w:t>
      </w:r>
      <w:proofErr w:type="spellEnd"/>
      <w:r w:rsidRPr="00987926">
        <w:rPr>
          <w:rFonts w:ascii="Arial" w:hAnsi="Arial"/>
          <w:sz w:val="22"/>
          <w:szCs w:val="22"/>
        </w:rPr>
        <w:t xml:space="preserve"> Wahrscheinlichkeitsbegriff von der subjektiven Sichtweise abzugrenzen.</w:t>
      </w:r>
    </w:p>
    <w:p w:rsidR="00987926" w:rsidRPr="00987926" w:rsidRDefault="00987926" w:rsidP="00987926">
      <w:pPr>
        <w:jc w:val="both"/>
        <w:rPr>
          <w:rFonts w:ascii="Arial" w:hAnsi="Arial"/>
          <w:sz w:val="22"/>
          <w:szCs w:val="22"/>
        </w:rPr>
      </w:pPr>
    </w:p>
    <w:p w:rsidR="00987926" w:rsidRPr="00987926" w:rsidRDefault="00987926" w:rsidP="00987926">
      <w:pPr>
        <w:jc w:val="both"/>
        <w:rPr>
          <w:rFonts w:ascii="Arial" w:hAnsi="Arial"/>
          <w:sz w:val="22"/>
          <w:szCs w:val="22"/>
        </w:rPr>
      </w:pPr>
      <w:r w:rsidRPr="00987926">
        <w:rPr>
          <w:rFonts w:ascii="Arial" w:hAnsi="Arial"/>
          <w:sz w:val="22"/>
          <w:szCs w:val="22"/>
        </w:rPr>
        <w:t>Durch die Beschäftigung mit Bleistiften können Kriterien entwickelt werden, die gelten müssen, damit man eine Wahrscheinlichkeit ohne Rückgriff auf relative Häufigkeiten angeben kann. Wenn z. B. einige Schülerinnen und Schüler für eine Gleichwahrscheinlichkeit beim Rollen von Bleistiften argumentieren, weil sie Symmetrieeigenschaften annehmen, kann diese Annahme sehr gut auf Spielwürfel (platonische Körper) übertragen werden. Eine naheliegende Möglichkeit zur Förderung der Fähigkeit Laplace-Wahrscheinlichkeiten in alltäglichen Situationen zu erkennen liegt dann darin, Schülerinnen und Schüler mit verschiedenen solchen Situationen vertraut zu machen. Zur Laplace-Wahrscheinlichkeit können z. B. folgende Situationen präsentiert werden:</w:t>
      </w:r>
    </w:p>
    <w:p w:rsidR="00987926" w:rsidRPr="00987926" w:rsidRDefault="00987926" w:rsidP="00987926">
      <w:pPr>
        <w:numPr>
          <w:ilvl w:val="0"/>
          <w:numId w:val="13"/>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Drehen eines Glücksrads</w:t>
      </w:r>
    </w:p>
    <w:p w:rsidR="00987926" w:rsidRPr="00987926" w:rsidRDefault="00987926" w:rsidP="00987926">
      <w:pPr>
        <w:numPr>
          <w:ilvl w:val="0"/>
          <w:numId w:val="13"/>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Münzwurf</w:t>
      </w:r>
    </w:p>
    <w:p w:rsidR="00987926" w:rsidRPr="00987926" w:rsidRDefault="00987926" w:rsidP="00987926">
      <w:pPr>
        <w:numPr>
          <w:ilvl w:val="0"/>
          <w:numId w:val="13"/>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Spielwürfel</w:t>
      </w:r>
    </w:p>
    <w:p w:rsidR="00987926" w:rsidRPr="00987926" w:rsidRDefault="00987926" w:rsidP="00987926">
      <w:pPr>
        <w:numPr>
          <w:ilvl w:val="0"/>
          <w:numId w:val="13"/>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Ziehen aus einer Urne</w:t>
      </w:r>
    </w:p>
    <w:p w:rsidR="00987926" w:rsidRPr="00987926" w:rsidRDefault="00987926" w:rsidP="00987926">
      <w:pPr>
        <w:numPr>
          <w:ilvl w:val="0"/>
          <w:numId w:val="13"/>
        </w:numPr>
        <w:contextualSpacing/>
        <w:jc w:val="both"/>
        <w:rPr>
          <w:rFonts w:ascii="Arial" w:eastAsia="Calibri" w:hAnsi="Arial" w:cs="Arial"/>
          <w:sz w:val="22"/>
          <w:szCs w:val="22"/>
          <w:lang w:eastAsia="en-US"/>
        </w:rPr>
      </w:pPr>
      <w:r w:rsidRPr="00987926">
        <w:rPr>
          <w:rFonts w:ascii="Arial" w:eastAsia="Calibri" w:hAnsi="Arial" w:cs="Arial"/>
          <w:sz w:val="22"/>
          <w:szCs w:val="22"/>
          <w:lang w:eastAsia="en-US"/>
        </w:rPr>
        <w:t xml:space="preserve">… </w:t>
      </w:r>
    </w:p>
    <w:p w:rsidR="00694A63" w:rsidRPr="005B2F65" w:rsidRDefault="00694A63" w:rsidP="00987926">
      <w:pPr>
        <w:jc w:val="both"/>
        <w:rPr>
          <w:sz w:val="22"/>
          <w:szCs w:val="22"/>
        </w:rPr>
      </w:pPr>
      <w:bookmarkStart w:id="0" w:name="_GoBack"/>
      <w:bookmarkEnd w:id="0"/>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B53082E-D407-4C20-9CDF-549A1974E932}"/>
    <w:embedBold r:id="rId2" w:fontKey="{8205226A-B666-4BFE-A27E-191EFA22649B}"/>
    <w:embedItalic r:id="rId3" w:fontKey="{2A6CA334-E000-4CBC-8D25-E6555860FFD7}"/>
    <w:embedBoldItalic r:id="rId4" w:fontKey="{7AF65695-4276-48A6-8EF2-ED975CD5404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98E6C7C"/>
    <w:multiLevelType w:val="hybridMultilevel"/>
    <w:tmpl w:val="5BCC34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822550E"/>
    <w:multiLevelType w:val="hybridMultilevel"/>
    <w:tmpl w:val="88EC6A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4"/>
  </w:num>
  <w:num w:numId="8">
    <w:abstractNumId w:val="1"/>
  </w:num>
  <w:num w:numId="9">
    <w:abstractNumId w:val="6"/>
  </w:num>
  <w:num w:numId="10">
    <w:abstractNumId w:val="9"/>
  </w:num>
  <w:num w:numId="11">
    <w:abstractNumId w:val="2"/>
  </w:num>
  <w:num w:numId="12">
    <w:abstractNumId w:val="5"/>
  </w:num>
  <w:num w:numId="13">
    <w:abstractNumId w:val="7"/>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87926"/>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4E08CE-2152-400C-B762-F67EDB3FB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762</Words>
  <Characters>5426</Characters>
  <Application>Microsoft Office Word</Application>
  <DocSecurity>0</DocSecurity>
  <Lines>110</Lines>
  <Paragraphs>49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2025-07-23T13:08:00Z</dcterms:created>
  <dcterms:modified xsi:type="dcterms:W3CDTF">2025-07-23T13:08:00Z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